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Opracowane z myślą o współczesnych pojazdach, czyli PETRONAS Syntium X – nowa gama olejów silnikowych PETRONAS Lubricants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wprowadza na rynek PETRONAS Syntium X, gamę olejów silnikowych zaprojektowanych z myślą o zmieniających się potrzebach współczesnych pojazdów. Ta innowacyjna linia produktów zapewnia niezrównaną ochronę, wydłużone okresy między wymianami oleju, trwałość i większą oszczędność paliwa. A wszystko to w przystępnej cenie, dzięki czemu kierowcy mogą dokonywać mądrych i jakościowych wyborów dla swoich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rozwiązanie dla nowoczesnych pojazdów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to odpowiedź na wyzwania związane ze starzeniem się europejskiej floty samochodowej, w której średni okres eksploatacji pojazdów wynosi 12 lat*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wiele z nich nie jest już objętych gwarancją. W </w:t>
      </w:r>
      <w:r>
        <w:rPr>
          <w:rFonts w:ascii="calibri" w:hAnsi="calibri" w:eastAsia="calibri" w:cs="calibri"/>
          <w:sz w:val="24"/>
          <w:szCs w:val="24"/>
        </w:rPr>
        <w:t xml:space="preserve">obecnej </w:t>
      </w:r>
      <w:r>
        <w:rPr>
          <w:rFonts w:ascii="calibri" w:hAnsi="calibri" w:eastAsia="calibri" w:cs="calibri"/>
          <w:sz w:val="24"/>
          <w:szCs w:val="24"/>
        </w:rPr>
        <w:t xml:space="preserve">sytuacji </w:t>
      </w:r>
      <w:r>
        <w:rPr>
          <w:rFonts w:ascii="calibri" w:hAnsi="calibri" w:eastAsia="calibri" w:cs="calibri"/>
          <w:sz w:val="24"/>
          <w:szCs w:val="24"/>
        </w:rPr>
        <w:t xml:space="preserve">ekonomiczn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konsumenci </w:t>
      </w:r>
      <w:r>
        <w:rPr>
          <w:rFonts w:ascii="calibri" w:hAnsi="calibri" w:eastAsia="calibri" w:cs="calibri"/>
          <w:sz w:val="24"/>
          <w:szCs w:val="24"/>
        </w:rPr>
        <w:t xml:space="preserve">oczekują </w:t>
      </w:r>
      <w:r>
        <w:rPr>
          <w:rFonts w:ascii="calibri" w:hAnsi="calibri" w:eastAsia="calibri" w:cs="calibri"/>
          <w:sz w:val="24"/>
          <w:szCs w:val="24"/>
        </w:rPr>
        <w:t xml:space="preserve">bardzo</w:t>
      </w:r>
      <w:r>
        <w:rPr>
          <w:rFonts w:ascii="calibri" w:hAnsi="calibri" w:eastAsia="calibri" w:cs="calibri"/>
          <w:sz w:val="24"/>
          <w:szCs w:val="24"/>
        </w:rPr>
        <w:t xml:space="preserve"> wydajnych, wysokiej jakości produktów, </w:t>
      </w:r>
      <w:r>
        <w:rPr>
          <w:rFonts w:ascii="calibri" w:hAnsi="calibri" w:eastAsia="calibri" w:cs="calibri"/>
          <w:sz w:val="24"/>
          <w:szCs w:val="24"/>
        </w:rPr>
        <w:t xml:space="preserve">w przystępnej cenie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to wszystko zapewnia właśnie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X.</w:t>
      </w:r>
      <w:r>
        <w:rPr>
          <w:rFonts w:ascii="calibri" w:hAnsi="calibri" w:eastAsia="calibri" w:cs="calibri"/>
          <w:sz w:val="24"/>
          <w:szCs w:val="24"/>
        </w:rPr>
        <w:t xml:space="preserve"> Formuła</w:t>
      </w:r>
      <w:r>
        <w:rPr>
          <w:rFonts w:ascii="calibri" w:hAnsi="calibri" w:eastAsia="calibri" w:cs="calibri"/>
          <w:sz w:val="24"/>
          <w:szCs w:val="24"/>
        </w:rPr>
        <w:t xml:space="preserve"> ta składa się z </w:t>
      </w:r>
      <w:r>
        <w:rPr>
          <w:rFonts w:ascii="calibri" w:hAnsi="calibri" w:eastAsia="calibri" w:cs="calibri"/>
          <w:sz w:val="24"/>
          <w:szCs w:val="24"/>
        </w:rPr>
        <w:t xml:space="preserve">ETRO, czyli najwyższej jakości, </w:t>
      </w:r>
      <w:r>
        <w:rPr>
          <w:rFonts w:ascii="calibri" w:hAnsi="calibri" w:eastAsia="calibri" w:cs="calibri"/>
          <w:sz w:val="24"/>
          <w:szCs w:val="24"/>
        </w:rPr>
        <w:t xml:space="preserve">własn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olej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bazow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połączeniu z wysokiej jakości dodatkami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Seria ta, opracowana zgodnie z </w:t>
      </w:r>
      <w:r>
        <w:rPr>
          <w:rFonts w:ascii="calibri" w:hAnsi="calibri" w:eastAsia="calibri" w:cs="calibri"/>
          <w:sz w:val="24"/>
          <w:szCs w:val="24"/>
        </w:rPr>
        <w:t xml:space="preserve">najnowszymi </w:t>
      </w:r>
      <w:r>
        <w:rPr>
          <w:rFonts w:ascii="calibri" w:hAnsi="calibri" w:eastAsia="calibri" w:cs="calibri"/>
          <w:sz w:val="24"/>
          <w:szCs w:val="24"/>
        </w:rPr>
        <w:t xml:space="preserve">trendami w zakresie klas lepkości, jest dostosowana do nowoczesnego użytkowania pojazdów, zapewniając optymalną wydajność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ochronę.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wizja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Syntium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X jest jasna: zaoferować kierowcom wybór, który łączy w sobie przystępną cenę bez uszczerbku dla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Managing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 EMEA w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Dodał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sytuacji, gdy silniki są narażone na coraz bardziej nieprzyjazne warunki, a portfele na całym świecie odczuwają napięcie, zdaliśmy sobie sprawę z potrzeby stworzenia produktu, który nie tylko chroni nasze starsze samochody przed zużyciem i osadami, ale także wzbudza zaufanie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podczas każdej podróży.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Gama produktów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składa się z sześciu skrupulatnie opracowanych produktów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obecnych i przyszłych potrzeb zarówno nowych, jak i starszych samochodó</w:t>
      </w:r>
      <w:r>
        <w:rPr>
          <w:rFonts w:ascii="calibri" w:hAnsi="calibri" w:eastAsia="calibri" w:cs="calibri"/>
          <w:sz w:val="24"/>
          <w:szCs w:val="24"/>
        </w:rPr>
        <w:t xml:space="preserve">w. Produkt</w:t>
      </w:r>
      <w:r>
        <w:rPr>
          <w:rFonts w:ascii="calibri" w:hAnsi="calibri" w:eastAsia="calibri" w:cs="calibri"/>
          <w:sz w:val="24"/>
          <w:szCs w:val="24"/>
        </w:rPr>
        <w:t xml:space="preserve">y te spełniają kluczowe standardy branżowe i wymagania producentów oryginalnego sprzętu (OEM) na poziomie wydajności i przydatności do użycia (SFU). Każdy produkt został zaprojektowany tak, aby był odporny na utlenianie, zapewniał stabilne działanie przez cały okres między wymianami oleju, wydłużał żywotność silnika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optymalizował zużycie paliwa. </w:t>
      </w:r>
      <w:r>
        <w:rPr>
          <w:rFonts w:ascii="calibri" w:hAnsi="calibri" w:eastAsia="calibri" w:cs="calibri"/>
          <w:sz w:val="24"/>
          <w:szCs w:val="24"/>
        </w:rPr>
        <w:t xml:space="preserve"> Ponadto nowy, przejrzysty projekt etykiety podkreśla inteligentne rozwiązania zastosowane we wszystkich produktach, ułatwiając konsumentom wybór produktu odpowiedniego do ich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produkty: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0W-20 (API SP i ACEA C5)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0W-30 (ACEA C2)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(ACEA C2, C3, ACEA A5/B5,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C3 (ACEA C3,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5W-40 (ACEA A3/B4)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10W-40 (ACEA A3/B4, API SN)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będzie dostępna</w:t>
      </w:r>
      <w:r>
        <w:rPr>
          <w:rFonts w:ascii="calibri" w:hAnsi="calibri" w:eastAsia="calibri" w:cs="calibri"/>
          <w:sz w:val="24"/>
          <w:szCs w:val="24"/>
        </w:rPr>
        <w:t xml:space="preserve"> w III kwartale 2024 </w:t>
      </w:r>
      <w:r>
        <w:rPr>
          <w:rFonts w:ascii="calibri" w:hAnsi="calibri" w:eastAsia="calibri" w:cs="calibri"/>
          <w:sz w:val="24"/>
          <w:szCs w:val="24"/>
        </w:rPr>
        <w:t xml:space="preserve">roku,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całej Europie za pośrednictwem dystrybutorów partnerskich i warsztatów serwisowych PLI.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i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dostępne wkrótce na</w:t>
      </w:r>
      <w:r>
        <w:rPr>
          <w:rFonts w:ascii="calibri" w:hAnsi="calibri" w:eastAsia="calibri" w:cs="calibri"/>
          <w:sz w:val="24"/>
          <w:szCs w:val="24"/>
        </w:rPr>
        <w:t xml:space="preserve">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https://pl.pli-petronas.com/pl/strona-glowna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ACEA, 2023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li-petronas.com/pl/strona-glowna" TargetMode="External"/><Relationship Id="rId8" Type="http://schemas.openxmlformats.org/officeDocument/2006/relationships/hyperlink" Target="http://www.pli-petronas.com/" TargetMode="External"/><Relationship Id="rId9" Type="http://schemas.openxmlformats.org/officeDocument/2006/relationships/hyperlink" Target="http://petronas.biuroprasowe.pl/word/?hash=db5acd82a5122f68f4fde65f6970e9d3&amp;id=204624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2025-12-20T04:13:37+01:00</dcterms:created>
  <dcterms:modified xsi:type="dcterms:W3CDTF">2025-12-20T04:13:37+01:00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