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Opracowane z myślą o współczesnych pojazdach, czyli PETRONAS Syntium X – nowa gama olejów silnikowych PETRONAS Lubricants International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PETRONAS Lubricants International (PLI) wprowadza na rynek PETRONAS Syntium X, gamę olejów silnikowych zaprojektowanych z myślą o zmieniających się potrzebach współczesnych pojazdów. Ta innowacyjna linia produktów zapewnia niezrównaną ochronę, wydłużone okresy między wymianami oleju, trwałość i większą oszczędność paliwa. A wszystko to w przystępnej cenie, dzięki czemu kierowcy mogą dokonywać mądrych i jakościowych wyborów dla swoich samochodów.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Inteligentne rozwiązanie dla nowoczesnych pojazdów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to odpowiedź na wyzwania związane ze starzeniem się europejskiej floty samochodowej, w której średni okres eksploatacji pojazdów wynosi 12 lat*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wiele z nich nie jest już objętych gwarancją. W </w:t>
      </w:r>
      <w:r>
        <w:rPr>
          <w:rFonts w:ascii="calibri" w:hAnsi="calibri" w:eastAsia="calibri" w:cs="calibri"/>
          <w:sz w:val="24"/>
          <w:szCs w:val="24"/>
        </w:rPr>
        <w:t xml:space="preserve">obecnej </w:t>
      </w:r>
      <w:r>
        <w:rPr>
          <w:rFonts w:ascii="calibri" w:hAnsi="calibri" w:eastAsia="calibri" w:cs="calibri"/>
          <w:sz w:val="24"/>
          <w:szCs w:val="24"/>
        </w:rPr>
        <w:t xml:space="preserve">sytuacji </w:t>
      </w:r>
      <w:r>
        <w:rPr>
          <w:rFonts w:ascii="calibri" w:hAnsi="calibri" w:eastAsia="calibri" w:cs="calibri"/>
          <w:sz w:val="24"/>
          <w:szCs w:val="24"/>
        </w:rPr>
        <w:t xml:space="preserve">ekonomiczn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 konsumenci </w:t>
      </w:r>
      <w:r>
        <w:rPr>
          <w:rFonts w:ascii="calibri" w:hAnsi="calibri" w:eastAsia="calibri" w:cs="calibri"/>
          <w:sz w:val="24"/>
          <w:szCs w:val="24"/>
        </w:rPr>
        <w:t xml:space="preserve">oczekują </w:t>
      </w:r>
      <w:r>
        <w:rPr>
          <w:rFonts w:ascii="calibri" w:hAnsi="calibri" w:eastAsia="calibri" w:cs="calibri"/>
          <w:sz w:val="24"/>
          <w:szCs w:val="24"/>
        </w:rPr>
        <w:t xml:space="preserve">bardzo</w:t>
      </w:r>
      <w:r>
        <w:rPr>
          <w:rFonts w:ascii="calibri" w:hAnsi="calibri" w:eastAsia="calibri" w:cs="calibri"/>
          <w:sz w:val="24"/>
          <w:szCs w:val="24"/>
        </w:rPr>
        <w:t xml:space="preserve"> wydajnych, wysokiej jakości produktów, </w:t>
      </w:r>
      <w:r>
        <w:rPr>
          <w:rFonts w:ascii="calibri" w:hAnsi="calibri" w:eastAsia="calibri" w:cs="calibri"/>
          <w:sz w:val="24"/>
          <w:szCs w:val="24"/>
        </w:rPr>
        <w:t xml:space="preserve">w przystępnej cenie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a </w:t>
      </w:r>
      <w:r>
        <w:rPr>
          <w:rFonts w:ascii="calibri" w:hAnsi="calibri" w:eastAsia="calibri" w:cs="calibri"/>
          <w:sz w:val="24"/>
          <w:szCs w:val="24"/>
        </w:rPr>
        <w:t xml:space="preserve">to wszystko zapewnia właśnie </w:t>
      </w: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X.</w:t>
      </w:r>
      <w:r>
        <w:rPr>
          <w:rFonts w:ascii="calibri" w:hAnsi="calibri" w:eastAsia="calibri" w:cs="calibri"/>
          <w:sz w:val="24"/>
          <w:szCs w:val="24"/>
        </w:rPr>
        <w:t xml:space="preserve"> Formuła</w:t>
      </w:r>
      <w:r>
        <w:rPr>
          <w:rFonts w:ascii="calibri" w:hAnsi="calibri" w:eastAsia="calibri" w:cs="calibri"/>
          <w:sz w:val="24"/>
          <w:szCs w:val="24"/>
        </w:rPr>
        <w:t xml:space="preserve"> ta składa się z </w:t>
      </w:r>
      <w:r>
        <w:rPr>
          <w:rFonts w:ascii="calibri" w:hAnsi="calibri" w:eastAsia="calibri" w:cs="calibri"/>
          <w:sz w:val="24"/>
          <w:szCs w:val="24"/>
        </w:rPr>
        <w:t xml:space="preserve">ETRO, czyli najwyższej jakości, </w:t>
      </w:r>
      <w:r>
        <w:rPr>
          <w:rFonts w:ascii="calibri" w:hAnsi="calibri" w:eastAsia="calibri" w:cs="calibri"/>
          <w:sz w:val="24"/>
          <w:szCs w:val="24"/>
        </w:rPr>
        <w:t xml:space="preserve">własn</w:t>
      </w:r>
      <w:r>
        <w:rPr>
          <w:rFonts w:ascii="calibri" w:hAnsi="calibri" w:eastAsia="calibri" w:cs="calibri"/>
          <w:sz w:val="24"/>
          <w:szCs w:val="24"/>
        </w:rPr>
        <w:t xml:space="preserve">ego</w:t>
      </w:r>
      <w:r>
        <w:rPr>
          <w:rFonts w:ascii="calibri" w:hAnsi="calibri" w:eastAsia="calibri" w:cs="calibri"/>
          <w:sz w:val="24"/>
          <w:szCs w:val="24"/>
        </w:rPr>
        <w:t xml:space="preserve"> olej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 bazow</w:t>
      </w:r>
      <w:r>
        <w:rPr>
          <w:rFonts w:ascii="calibri" w:hAnsi="calibri" w:eastAsia="calibri" w:cs="calibri"/>
          <w:sz w:val="24"/>
          <w:szCs w:val="24"/>
        </w:rPr>
        <w:t xml:space="preserve">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połączeniu z wysokiej jakości dodatkami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Seria ta, opracowana zgodnie z </w:t>
      </w:r>
      <w:r>
        <w:rPr>
          <w:rFonts w:ascii="calibri" w:hAnsi="calibri" w:eastAsia="calibri" w:cs="calibri"/>
          <w:sz w:val="24"/>
          <w:szCs w:val="24"/>
        </w:rPr>
        <w:t xml:space="preserve">najnowszymi </w:t>
      </w:r>
      <w:r>
        <w:rPr>
          <w:rFonts w:ascii="calibri" w:hAnsi="calibri" w:eastAsia="calibri" w:cs="calibri"/>
          <w:sz w:val="24"/>
          <w:szCs w:val="24"/>
        </w:rPr>
        <w:t xml:space="preserve">trendami w zakresie klas lepkości, jest dostosowana do nowoczesnego użytkowania pojazdów, zapewniając optymalną wydajność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</w:rPr>
        <w:t xml:space="preserve">ochronę.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wizja PETRONAS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Syntium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X jest jasna: zaoferować kierowcom wybór, który łączy w sobie przystępną cenę bez uszczerbku dla jakości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powiedział Giuseppe </w:t>
      </w:r>
      <w:r>
        <w:rPr>
          <w:rFonts w:ascii="calibri" w:hAnsi="calibri" w:eastAsia="calibri" w:cs="calibri"/>
          <w:sz w:val="24"/>
          <w:szCs w:val="24"/>
        </w:rPr>
        <w:t xml:space="preserve">Pedretti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Regional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Managing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Director</w:t>
      </w:r>
      <w:r>
        <w:rPr>
          <w:rFonts w:ascii="calibri" w:hAnsi="calibri" w:eastAsia="calibri" w:cs="calibri"/>
          <w:sz w:val="24"/>
          <w:szCs w:val="24"/>
        </w:rPr>
        <w:t xml:space="preserve"> EMEA w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International.</w:t>
      </w:r>
      <w:r>
        <w:rPr>
          <w:rFonts w:ascii="calibri" w:hAnsi="calibri" w:eastAsia="calibri" w:cs="calibri"/>
          <w:sz w:val="24"/>
          <w:szCs w:val="24"/>
        </w:rPr>
        <w:t xml:space="preserve"> Dodał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sytuacji, gdy silniki są narażone na coraz bardziej nieprzyjazne warunki, a portfele na całym świecie odczuwają napięcie, zdaliśmy sobie sprawę z potrzeby stworzenia produktu, który nie tylko chroni nasze starsze samochody przed zużyciem i osadami, ale także wzbudza zaufanie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pewność podczas każdej podróży.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Gama produktów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składa się z sześciu skrupulatnie opracowanych produktów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obecnych i przyszłych potrzeb zarówno nowych, jak i starszych samochodó</w:t>
      </w:r>
      <w:r>
        <w:rPr>
          <w:rFonts w:ascii="calibri" w:hAnsi="calibri" w:eastAsia="calibri" w:cs="calibri"/>
          <w:sz w:val="24"/>
          <w:szCs w:val="24"/>
        </w:rPr>
        <w:t xml:space="preserve">w. Produkt</w:t>
      </w:r>
      <w:r>
        <w:rPr>
          <w:rFonts w:ascii="calibri" w:hAnsi="calibri" w:eastAsia="calibri" w:cs="calibri"/>
          <w:sz w:val="24"/>
          <w:szCs w:val="24"/>
        </w:rPr>
        <w:t xml:space="preserve">y te spełniają kluczowe standardy branżowe i wymagania producentów oryginalnego sprzętu (OEM) na poziomie wydajności i przydatności do użycia (SFU). Każdy produkt został zaprojektowany tak, aby był odporny na utlenianie, zapewniał stabilne działanie przez cały okres między wymianami oleju, wydłużał żywotność silnika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optymalizował zużycie paliwa. </w:t>
      </w:r>
      <w:r>
        <w:rPr>
          <w:rFonts w:ascii="calibri" w:hAnsi="calibri" w:eastAsia="calibri" w:cs="calibri"/>
          <w:sz w:val="24"/>
          <w:szCs w:val="24"/>
        </w:rPr>
        <w:t xml:space="preserve"> Ponadto nowy, przejrzysty projekt etykiety podkreśla inteligentne rozwiązania zastosowane we wszystkich produktach, ułatwiając konsumentom wybór produktu odpowiedniego do ich potrzeb.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produkty: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0W-20 (API SP i ACEA C5)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0W-30 (ACEA C2)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5W-30 (ACEA C2, C3, ACEA A5/B5, API SP)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5W-30 C3 (ACEA C3, API SP)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5W-40 (ACEA A3/B4)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10W-40 (ACEA A3/B4, API SN)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będzie dostępna</w:t>
      </w:r>
      <w:r>
        <w:rPr>
          <w:rFonts w:ascii="calibri" w:hAnsi="calibri" w:eastAsia="calibri" w:cs="calibri"/>
          <w:sz w:val="24"/>
          <w:szCs w:val="24"/>
        </w:rPr>
        <w:t xml:space="preserve"> w III kwartale 2024 </w:t>
      </w:r>
      <w:r>
        <w:rPr>
          <w:rFonts w:ascii="calibri" w:hAnsi="calibri" w:eastAsia="calibri" w:cs="calibri"/>
          <w:sz w:val="24"/>
          <w:szCs w:val="24"/>
        </w:rPr>
        <w:t xml:space="preserve">roku,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całej Europie za pośrednictwem dystrybutorów partnerskich i warsztatów serwisowych PLI.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informacji na temat 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i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</w:t>
      </w:r>
      <w:r>
        <w:rPr>
          <w:rFonts w:ascii="calibri" w:hAnsi="calibri" w:eastAsia="calibri" w:cs="calibri"/>
          <w:sz w:val="24"/>
          <w:szCs w:val="24"/>
        </w:rPr>
        <w:t xml:space="preserve">dostępne wkrótce na</w:t>
      </w:r>
      <w:r>
        <w:rPr>
          <w:rFonts w:ascii="calibri" w:hAnsi="calibri" w:eastAsia="calibri" w:cs="calibri"/>
          <w:sz w:val="24"/>
          <w:szCs w:val="24"/>
        </w:rPr>
        <w:t xml:space="preserve">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https://pl.pli-petronas.com/pl/strona-glowna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*Źródło: ACEA, 2023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PETRONAS </w:t>
      </w:r>
      <w:r>
        <w:rPr>
          <w:rFonts w:ascii="calibri" w:hAnsi="calibri" w:eastAsia="calibri" w:cs="calibri"/>
          <w:sz w:val="24"/>
          <w:szCs w:val="24"/>
          <w:b/>
        </w:rPr>
        <w:t xml:space="preserve">Lubricants</w:t>
      </w:r>
      <w:r>
        <w:rPr>
          <w:rFonts w:ascii="calibri" w:hAnsi="calibri" w:eastAsia="calibri" w:cs="calibri"/>
          <w:sz w:val="24"/>
          <w:szCs w:val="24"/>
          <w:b/>
        </w:rPr>
        <w:t xml:space="preserve"> International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(PLI) jest globalnym producentem środków smarnych i częścią notowanej na liście </w:t>
      </w:r>
      <w:r>
        <w:rPr>
          <w:rFonts w:ascii="calibri" w:hAnsi="calibri" w:eastAsia="calibri" w:cs="calibri"/>
          <w:sz w:val="24"/>
          <w:szCs w:val="24"/>
        </w:rPr>
        <w:t xml:space="preserve">Fortune</w:t>
      </w:r>
      <w:r>
        <w:rPr>
          <w:rFonts w:ascii="calibri" w:hAnsi="calibri" w:eastAsia="calibri" w:cs="calibri"/>
          <w:sz w:val="24"/>
          <w:szCs w:val="24"/>
        </w:rPr>
        <w:t xml:space="preserve"> 500 firmy PETRONAS, malezyjskiego koncernu petrochemicznego. Powstały w 2008 roku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produkuje i wprowadza na rynek w ponad 90 krajach świata pełną gamę wysokiej jakości środków smarnych przeznaczonych dla przemysłu i pojazdów. Centrala firmy mieści się w Kuala Lumpur, PLI ma ponad 30 lokalnych przedstawicielstw w 27 krajach, zarządzanych z biur w Turynie, Belo Horizonte, Chicago i Durbanie. PLI jest obecnie w czołowej 10 największych producentów środków smarnych, a za cel stawia sobie nr 1 światowego zestawienia. Więcej informacji można znaleźć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www.pli-petronas.com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Danuta </w:t>
      </w:r>
      <w:r>
        <w:rPr>
          <w:rFonts w:ascii="calibri" w:hAnsi="calibri" w:eastAsia="calibri" w:cs="calibri"/>
          <w:sz w:val="24"/>
          <w:szCs w:val="24"/>
        </w:rPr>
        <w:t xml:space="preserve">Michałus</w:t>
      </w:r>
      <w:r>
        <w:rPr>
          <w:rFonts w:ascii="calibri" w:hAnsi="calibri" w:eastAsia="calibri" w:cs="calibri"/>
          <w:sz w:val="24"/>
          <w:szCs w:val="24"/>
        </w:rPr>
        <w:t xml:space="preserve">-Sokołowska,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Poland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danuta.sokolowska@pli-petronas.com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pli-petronas.com/pl/strona-glowna" TargetMode="External"/><Relationship Id="rId8" Type="http://schemas.openxmlformats.org/officeDocument/2006/relationships/hyperlink" Target="http://www.pli-petronas.com/" TargetMode="External"/><Relationship Id="rId9" Type="http://schemas.openxmlformats.org/officeDocument/2006/relationships/hyperlink" Target="http://petronas.biuroprasowe.pl/word/?hash=db5acd82a5122f68f4fde65f6970e9d3&amp;id=204624&amp;typ=eprmailto:danuta.sokolowska@pli-petrona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2026-10-10T03:33:13+02:00</dcterms:created>
  <dcterms:modified xsi:type="dcterms:W3CDTF">2026-10-10T03:33:13+02:00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