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Codzienne ładowanie samochodu elektrycznego obniża poziom zadowolenia z jego użytkowania. Jednak Europejczycy nadal preferują jazdę elektrykiem bardziej niż tradycyjnymi autami.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na 10 europejskich kierowców pojazdów elektrycznych (EV) woli jazdę pojazdem elektrycznym niż samochodem z silnikiem spalinowym (ICE).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na 10 europejskich kierowców pojazdów elektrycznych (EV) woli jazdę pojazdem elektrycznym niż samochodem z silnikiem spalinowym (ICE);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80% kierowców zgadza się z tym, że pojazdy elektryczne zapewniają płynniejszą i cichszą jazdę;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Oszczędność pieniędzy na paliwie, zaawansowana technologia i dostęp do stref niskiej emisji to główne powody zakupu pojazdów elektrycznych;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Zadowolenie z czasu ładowania jest najniższe (na poziomie 7,7 pkt.) wśród wszystkich badanych wskaźników. Przy czym dwie trzecie właścicieli pojazdów elektrycznych ładuje swój samochód co najmniej raz dziennie.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motoryzacyjna poczyniła kolejny ogromny krok w kierunku zrównoważonego rozwoju. Większość właścicieli pojazdów elektrycznych twierdzi, że nowoczesne pojazdy elektryczne oferują lepsze wrażenia z jazdy </w:t>
      </w:r>
      <w:r>
        <w:rPr>
          <w:rFonts w:ascii="calibri" w:hAnsi="calibri" w:eastAsia="calibri" w:cs="calibri"/>
          <w:sz w:val="24"/>
          <w:szCs w:val="24"/>
        </w:rPr>
        <w:t xml:space="preserve">w porównaniu do </w:t>
      </w:r>
      <w:r>
        <w:rPr>
          <w:rFonts w:ascii="calibri" w:hAnsi="calibri" w:eastAsia="calibri" w:cs="calibri"/>
          <w:sz w:val="24"/>
          <w:szCs w:val="24"/>
        </w:rPr>
        <w:t xml:space="preserve">samochod</w:t>
      </w:r>
      <w:r>
        <w:rPr>
          <w:rFonts w:ascii="calibri" w:hAnsi="calibri" w:eastAsia="calibri" w:cs="calibri"/>
          <w:sz w:val="24"/>
          <w:szCs w:val="24"/>
        </w:rPr>
        <w:t xml:space="preserve">ów</w:t>
      </w:r>
      <w:r>
        <w:rPr>
          <w:rFonts w:ascii="calibri" w:hAnsi="calibri" w:eastAsia="calibri" w:cs="calibri"/>
          <w:sz w:val="24"/>
          <w:szCs w:val="24"/>
        </w:rPr>
        <w:t xml:space="preserve"> z silnikiem benzynowym lub wysokoprężnym. Obecnie około trzech na czterech kierowców, którzy posiadają zarówno samochód elektryczny, jak i spalinowy, preferuje korzystanie z pojazdu elektrycznego.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europejskich trendów dotyczących pojazdów elektrycznych, przeprowadzone przez firmę </w:t>
      </w:r>
      <w:r>
        <w:rPr>
          <w:rFonts w:ascii="calibri" w:hAnsi="calibri" w:eastAsia="calibri" w:cs="calibri"/>
          <w:sz w:val="24"/>
          <w:szCs w:val="24"/>
        </w:rPr>
        <w:t xml:space="preserve">GiPA</w:t>
      </w:r>
      <w:r>
        <w:rPr>
          <w:rFonts w:ascii="calibri" w:hAnsi="calibri" w:eastAsia="calibri" w:cs="calibri"/>
          <w:sz w:val="24"/>
          <w:szCs w:val="24"/>
        </w:rPr>
        <w:t xml:space="preserve"> zajmującą się analizą rynku wtórnego w branży motoryzacyjnej i sponsorowane przez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(PLI), objęło 3 906 kierowców pojazdów elektrycznych w siedmiu krajach: Francji, Niemczech, Włoszech, Hiszpanii, Polsce, Portugalii i Wielkiej Brytanii. We wszystkich państwach, kierowcy ocenili aspekty jazdy pojazdami elektrycznymi w skali od 1 do 10, klasyfikując: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Satysfakcj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z jazdy</w:t>
      </w:r>
      <w:r>
        <w:rPr>
          <w:rFonts w:ascii="calibri" w:hAnsi="calibri" w:eastAsia="calibri" w:cs="calibri"/>
          <w:sz w:val="24"/>
          <w:szCs w:val="24"/>
          <w:b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8,39 pkt.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  <w:b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8,38 pkt.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Cicha praca silnika</w:t>
      </w:r>
      <w:r>
        <w:rPr>
          <w:rFonts w:ascii="calibri" w:hAnsi="calibri" w:eastAsia="calibri" w:cs="calibri"/>
          <w:sz w:val="24"/>
          <w:szCs w:val="24"/>
          <w:b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8.37 pkt.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pokazuje również, że obawa o zasięg </w:t>
      </w:r>
      <w:r>
        <w:rPr>
          <w:rFonts w:ascii="calibri" w:hAnsi="calibri" w:eastAsia="calibri" w:cs="calibri"/>
          <w:sz w:val="24"/>
          <w:szCs w:val="24"/>
        </w:rPr>
        <w:t xml:space="preserve">jazdy jest</w:t>
      </w:r>
      <w:r>
        <w:rPr>
          <w:rFonts w:ascii="calibri" w:hAnsi="calibri" w:eastAsia="calibri" w:cs="calibri"/>
          <w:sz w:val="24"/>
          <w:szCs w:val="24"/>
        </w:rPr>
        <w:t xml:space="preserve"> zmartwieniem </w:t>
      </w:r>
      <w:r>
        <w:rPr>
          <w:rFonts w:ascii="calibri" w:hAnsi="calibri" w:eastAsia="calibri" w:cs="calibri"/>
          <w:sz w:val="24"/>
          <w:szCs w:val="24"/>
        </w:rPr>
        <w:t xml:space="preserve">niemal połowy </w:t>
      </w:r>
      <w:r>
        <w:rPr>
          <w:rFonts w:ascii="calibri" w:hAnsi="calibri" w:eastAsia="calibri" w:cs="calibri"/>
          <w:sz w:val="24"/>
          <w:szCs w:val="24"/>
          <w:b/>
        </w:rPr>
        <w:t xml:space="preserve">(46%)</w:t>
      </w:r>
      <w:r>
        <w:rPr>
          <w:rFonts w:ascii="calibri" w:hAnsi="calibri" w:eastAsia="calibri" w:cs="calibri"/>
          <w:sz w:val="24"/>
          <w:szCs w:val="24"/>
        </w:rPr>
        <w:t xml:space="preserve"> właścicieli</w:t>
      </w:r>
      <w:r>
        <w:rPr>
          <w:rFonts w:ascii="calibri" w:hAnsi="calibri" w:eastAsia="calibri" w:cs="calibri"/>
          <w:sz w:val="24"/>
          <w:szCs w:val="24"/>
        </w:rPr>
        <w:t xml:space="preserve"> elektryków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Zadowolenie z czasu ładowania jest nadal najniższe wśród wszystkich wskaźników i wynosi </w:t>
      </w:r>
      <w:r>
        <w:rPr>
          <w:rFonts w:ascii="calibri" w:hAnsi="calibri" w:eastAsia="calibri" w:cs="calibri"/>
          <w:sz w:val="24"/>
          <w:szCs w:val="24"/>
          <w:b/>
        </w:rPr>
        <w:t xml:space="preserve">7,7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pkt.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</w:t>
      </w:r>
      <w:r>
        <w:rPr>
          <w:rFonts w:ascii="calibri" w:hAnsi="calibri" w:eastAsia="calibri" w:cs="calibri"/>
          <w:sz w:val="24"/>
          <w:szCs w:val="24"/>
        </w:rPr>
        <w:t xml:space="preserve">oducenci pojazdów </w:t>
      </w:r>
      <w:r>
        <w:rPr>
          <w:rFonts w:ascii="calibri" w:hAnsi="calibri" w:eastAsia="calibri" w:cs="calibri"/>
          <w:sz w:val="24"/>
          <w:szCs w:val="24"/>
        </w:rPr>
        <w:t xml:space="preserve">będą musieli pokonać tę przeszkodę, żeby przekonać opini</w:t>
      </w:r>
      <w:r>
        <w:rPr>
          <w:rFonts w:ascii="calibri" w:hAnsi="calibri" w:eastAsia="calibri" w:cs="calibri"/>
          <w:sz w:val="24"/>
          <w:szCs w:val="24"/>
        </w:rPr>
        <w:t xml:space="preserve">ę publiczn</w:t>
      </w:r>
      <w:r>
        <w:rPr>
          <w:rFonts w:ascii="calibri" w:hAnsi="calibri" w:eastAsia="calibri" w:cs="calibri"/>
          <w:sz w:val="24"/>
          <w:szCs w:val="24"/>
        </w:rPr>
        <w:t xml:space="preserve">ą, że pojazdy spalinowe mogą odejść </w:t>
      </w:r>
      <w:r>
        <w:rPr>
          <w:rFonts w:ascii="calibri" w:hAnsi="calibri" w:eastAsia="calibri" w:cs="calibri"/>
          <w:sz w:val="24"/>
          <w:szCs w:val="24"/>
        </w:rPr>
        <w:t xml:space="preserve">w niepamięć. </w:t>
      </w:r>
      <w:r>
        <w:rPr>
          <w:rFonts w:ascii="calibri" w:hAnsi="calibri" w:eastAsia="calibri" w:cs="calibri"/>
          <w:sz w:val="24"/>
          <w:szCs w:val="24"/>
        </w:rPr>
        <w:t xml:space="preserve">Jednocześnie n</w:t>
      </w:r>
      <w:r>
        <w:rPr>
          <w:rFonts w:ascii="calibri" w:hAnsi="calibri" w:eastAsia="calibri" w:cs="calibri"/>
          <w:sz w:val="24"/>
          <w:szCs w:val="24"/>
        </w:rPr>
        <w:t xml:space="preserve">egatywne nastawienie zmniejsza się </w:t>
      </w:r>
      <w:r>
        <w:rPr>
          <w:rFonts w:ascii="calibri" w:hAnsi="calibri" w:eastAsia="calibri" w:cs="calibri"/>
          <w:sz w:val="24"/>
          <w:szCs w:val="24"/>
        </w:rPr>
        <w:t xml:space="preserve">wraz z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skracaniem czasu ładowania lub z wygodniejszym i łatwiejszym dostępem do stacji ładujących. Łatwość ładowania jest obecnie oceniana na </w:t>
      </w:r>
      <w:r>
        <w:rPr>
          <w:rFonts w:ascii="calibri" w:hAnsi="calibri" w:eastAsia="calibri" w:cs="calibri"/>
          <w:sz w:val="24"/>
          <w:szCs w:val="24"/>
          <w:b/>
        </w:rPr>
        <w:t xml:space="preserve">8,12</w:t>
      </w:r>
      <w:r>
        <w:rPr>
          <w:rFonts w:ascii="calibri" w:hAnsi="calibri" w:eastAsia="calibri" w:cs="calibri"/>
          <w:sz w:val="24"/>
          <w:szCs w:val="24"/>
        </w:rPr>
        <w:t xml:space="preserve"> punktów, co może świadczyć o poprawie publicznej i prywatnej infrastruktury ładowania.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zalety </w:t>
      </w:r>
      <w:r>
        <w:rPr>
          <w:rFonts w:ascii="calibri" w:hAnsi="calibri" w:eastAsia="calibri" w:cs="calibri"/>
          <w:sz w:val="24"/>
          <w:szCs w:val="24"/>
          <w:b/>
        </w:rPr>
        <w:t xml:space="preserve">jazdy samochodem elektrycznym</w:t>
      </w:r>
      <w:r>
        <w:rPr>
          <w:rFonts w:ascii="calibri" w:hAnsi="calibri" w:eastAsia="calibri" w:cs="calibri"/>
          <w:sz w:val="24"/>
          <w:szCs w:val="24"/>
          <w:b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66%</w:t>
      </w:r>
      <w:r>
        <w:rPr>
          <w:rFonts w:ascii="calibri" w:hAnsi="calibri" w:eastAsia="calibri" w:cs="calibri"/>
          <w:sz w:val="24"/>
          <w:szCs w:val="24"/>
        </w:rPr>
        <w:t xml:space="preserve"> respondentów zgodziło się, że kwestie środowiskowe są najważniejszym powodem zakupu pojazdu elektrycznego. Nadal jednak istnieje rozbieżność opinii na temat ich rzeczywistego wpływu: </w:t>
      </w:r>
      <w:r>
        <w:rPr>
          <w:rFonts w:ascii="calibri" w:hAnsi="calibri" w:eastAsia="calibri" w:cs="calibri"/>
          <w:sz w:val="24"/>
          <w:szCs w:val="24"/>
          <w:b/>
        </w:rPr>
        <w:t xml:space="preserve">42% </w:t>
      </w:r>
      <w:r>
        <w:rPr>
          <w:rFonts w:ascii="calibri" w:hAnsi="calibri" w:eastAsia="calibri" w:cs="calibri"/>
          <w:sz w:val="24"/>
          <w:szCs w:val="24"/>
        </w:rPr>
        <w:t xml:space="preserve">kierowców zgadza się, że pojazdy elektryczne pomogą w wystarczającym stopniu zmniejszyć emisję CO2, podczas gdy </w:t>
      </w:r>
      <w:r>
        <w:rPr>
          <w:rFonts w:ascii="calibri" w:hAnsi="calibri" w:eastAsia="calibri" w:cs="calibri"/>
          <w:sz w:val="24"/>
          <w:szCs w:val="24"/>
          <w:b/>
        </w:rPr>
        <w:t xml:space="preserve">47%</w:t>
      </w:r>
      <w:r>
        <w:rPr>
          <w:rFonts w:ascii="calibri" w:hAnsi="calibri" w:eastAsia="calibri" w:cs="calibri"/>
          <w:sz w:val="24"/>
          <w:szCs w:val="24"/>
        </w:rPr>
        <w:t xml:space="preserve"> twierdzi, że same pojazdy elektryczne nie wystarczą. Inne </w:t>
      </w:r>
      <w:r>
        <w:rPr>
          <w:rFonts w:ascii="calibri" w:hAnsi="calibri" w:eastAsia="calibri" w:cs="calibri"/>
          <w:sz w:val="24"/>
          <w:szCs w:val="24"/>
        </w:rPr>
        <w:t xml:space="preserve">powody zakupu pojazdu elektrycznego to: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pieniędzy na paliwie: 64%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Korzystanie z zaawansowanych technologii i funkcji: 62%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stref niskiej emisji: 56%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jak świat stopniowo przestawia się na energię odnawialną w ramach walki ze zmianami klimatycznymi, zalety posiadania pojazdów elektrycznych będą zyskiwać na znaczeniu. Nic dziwnego, że badania wykazały, że aż </w:t>
      </w:r>
      <w:r>
        <w:rPr>
          <w:rFonts w:ascii="calibri" w:hAnsi="calibri" w:eastAsia="calibri" w:cs="calibri"/>
          <w:sz w:val="24"/>
          <w:szCs w:val="24"/>
          <w:b/>
        </w:rPr>
        <w:t xml:space="preserve">73%</w:t>
      </w:r>
      <w:r>
        <w:rPr>
          <w:rFonts w:ascii="calibri" w:hAnsi="calibri" w:eastAsia="calibri" w:cs="calibri"/>
          <w:sz w:val="24"/>
          <w:szCs w:val="24"/>
        </w:rPr>
        <w:t xml:space="preserve"> właścicieli pojazdów elektrycznych chętnie kupiłoby inny pojazd elektryczny, zastępując obecnie posiadany. Ponad połowa "absolutnie" poleciłaby pojazdy elektryczne swoim znajomym.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aspektem wpływającym na pozytywne oceny pojazdów elektrycznych jest także stosowanie dedykowanych dla nich, specjalistycznych produktów, takich jak płyny chłodzące akumulator, płyny hamulcowe i płyny przekładniowe. Umożliwiają one pracę silników w niskich temperaturach oraz mogą zapewnić maksymalną oszczędność paliwa i energii. Ostatecznie pozwalają one właścicielom pojazdów elektrycznych cieszyć się najlepszymi wrażeniami z jazdy i funkcjonalnościami najwyższych technologii.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pojazdów elektrycznych rozkwitła w ostatnich latach i coraz więcej konsumentów zwraca się ku takim pojazdom. Badania pokazują, że samochody BEV stają się coraz bardziej atrakcyjną opcją dla kierowców, którzy chcą wypełnić lukę między zrównoważonym rozwojem a wygodą, co także pokazuje, że nie ma jednego uniwersalnego rozwiązania.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Ponieważ pojazdy elektryczne mają stać się jeszcze bardziej dostępne i przystępne cenowo, gamy produktów przeznaczonych specjalnie dla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samochodów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elektrycznych i hybrydowych, takich jak PETRONAS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wspierają ich wyjątkową wydajność. Innowacyjne narzędzia i produkty utrzymują nas na drodze dłużej, co pozwala nam lepiej inwestować w obecną technologię, jednocześnie zmniejszając emisje i torując drogę ku bardziej ekologicznej przyszłości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  <w:b/>
        </w:rPr>
        <w:t xml:space="preserve">ówi James Mark, </w:t>
      </w:r>
      <w:r>
        <w:rPr>
          <w:rFonts w:ascii="calibri" w:hAnsi="calibri" w:eastAsia="calibri" w:cs="calibri"/>
          <w:sz w:val="24"/>
          <w:szCs w:val="24"/>
          <w:b/>
        </w:rPr>
        <w:t xml:space="preserve">Head</w:t>
      </w:r>
      <w:r>
        <w:rPr>
          <w:rFonts w:ascii="calibri" w:hAnsi="calibri" w:eastAsia="calibri" w:cs="calibri"/>
          <w:sz w:val="24"/>
          <w:szCs w:val="24"/>
          <w:b/>
        </w:rPr>
        <w:t xml:space="preserve"> of NEV </w:t>
      </w:r>
      <w:r>
        <w:rPr>
          <w:rFonts w:ascii="calibri" w:hAnsi="calibri" w:eastAsia="calibri" w:cs="calibri"/>
          <w:sz w:val="24"/>
          <w:szCs w:val="24"/>
          <w:b/>
        </w:rPr>
        <w:t xml:space="preserve">Fluids</w:t>
      </w:r>
      <w:r>
        <w:rPr>
          <w:rFonts w:ascii="calibri" w:hAnsi="calibri" w:eastAsia="calibri" w:cs="calibri"/>
          <w:sz w:val="24"/>
          <w:szCs w:val="24"/>
          <w:b/>
        </w:rPr>
        <w:t xml:space="preserve"> Business Unit w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Lubricants</w:t>
      </w:r>
      <w:r>
        <w:rPr>
          <w:rFonts w:ascii="calibri" w:hAnsi="calibri" w:eastAsia="calibri" w:cs="calibri"/>
          <w:sz w:val="24"/>
          <w:szCs w:val="24"/>
          <w:b/>
        </w:rPr>
        <w:t xml:space="preserve"> International.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Lubricants</w:t>
      </w:r>
      <w:r>
        <w:rPr>
          <w:rFonts w:ascii="calibri" w:hAnsi="calibri" w:eastAsia="calibri" w:cs="calibri"/>
          <w:sz w:val="24"/>
          <w:szCs w:val="24"/>
          <w:b/>
        </w:rPr>
        <w:t xml:space="preserve"> International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(PLI) jest globalnym producentem środków smarnych i częścią notowanej na liście </w:t>
      </w:r>
      <w:r>
        <w:rPr>
          <w:rFonts w:ascii="calibri" w:hAnsi="calibri" w:eastAsia="calibri" w:cs="calibri"/>
          <w:sz w:val="24"/>
          <w:szCs w:val="24"/>
        </w:rPr>
        <w:t xml:space="preserve">Fortune</w:t>
      </w:r>
      <w:r>
        <w:rPr>
          <w:rFonts w:ascii="calibri" w:hAnsi="calibri" w:eastAsia="calibri" w:cs="calibri"/>
          <w:sz w:val="24"/>
          <w:szCs w:val="24"/>
        </w:rPr>
        <w:t xml:space="preserve"> 500 firmy PETRONAS, malezyjskiego koncernu petrochemicznego. Powstały w 2008 roku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produkuje i wprowadza na rynek w ponad 90 krajach świata pełną gamę wysokiej jakości środków smarnych przeznaczonych dla przemysłu i pojazdów. Centrala firmy mieści się w Kuala Lumpur, PLI ma ponad 30 lokalnych przedstawicielstw w 27 krajach, zarządzanych z biur w Turynie, Belo Horizonte, Chicago i Durbanie. PLI jest obecnie w czołowej 10 największych producentów środków smarnych, a za cel stawia sobie nr 1 światowego zestawienia. Więcej informacji można znaleźć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www.pli-petronas.com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Zapytania od mediów: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Danuta </w:t>
      </w:r>
      <w:r>
        <w:rPr>
          <w:rFonts w:ascii="calibri" w:hAnsi="calibri" w:eastAsia="calibri" w:cs="calibri"/>
          <w:sz w:val="24"/>
          <w:szCs w:val="24"/>
        </w:rPr>
        <w:t xml:space="preserve">Michałus</w:t>
      </w:r>
      <w:r>
        <w:rPr>
          <w:rFonts w:ascii="calibri" w:hAnsi="calibri" w:eastAsia="calibri" w:cs="calibri"/>
          <w:sz w:val="24"/>
          <w:szCs w:val="24"/>
        </w:rPr>
        <w:t xml:space="preserve">-Sokołowska,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Poland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danuta.sokolowska@pli-petronas.com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li-petronas.com/" TargetMode="External"/><Relationship Id="rId8" Type="http://schemas.openxmlformats.org/officeDocument/2006/relationships/hyperlink" Target="http://petronas.biuroprasowe.pl/word/?hash=5e0b4e1e6299a4348c465a061a7784f6&amp;id=204659&amp;typ=eprmailto:danuta.sokolowska@pli-petron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2025-10-24T05:33:40+02:00</dcterms:created>
  <dcterms:modified xsi:type="dcterms:W3CDTF">2025-10-24T05:33:40+02:00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